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10 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2B8F">
        <w:rPr>
          <w:rFonts w:ascii="Times New Roman" w:hAnsi="Times New Roman" w:cs="Times New Roman"/>
          <w:sz w:val="24"/>
          <w:szCs w:val="24"/>
        </w:rPr>
        <w:t>муниципальному</w:t>
      </w:r>
      <w:r>
        <w:rPr>
          <w:rFonts w:ascii="Times New Roman" w:hAnsi="Times New Roman" w:cs="Times New Roman"/>
          <w:sz w:val="24"/>
          <w:szCs w:val="24"/>
        </w:rPr>
        <w:t xml:space="preserve"> контракту</w:t>
      </w:r>
    </w:p>
    <w:p w:rsidR="00910655" w:rsidRPr="00137117" w:rsidRDefault="00910655" w:rsidP="009106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3711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 xml:space="preserve"> "__"___________ ____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37117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ГАРАНТИЙНЫЕ СРОКИ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ВЫПОЛНЕНИЕ РАБОТ ПО СТРОИТЕЛЬСТВУ, РЕКОНСТРУКЦИИ, КАПИТАЛЬНОМУ РЕМОНТУ АВТОМОБИЛЬНЫХ ДОРОГ, ИСКУ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ССТВЕННЫХ ДОРОЖНЫХ СООРУЖЕНИЙ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0655" w:rsidRP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655">
        <w:rPr>
          <w:rFonts w:ascii="Times New Roman" w:hAnsi="Times New Roman" w:cs="Times New Roman"/>
          <w:b/>
          <w:sz w:val="24"/>
          <w:szCs w:val="24"/>
        </w:rPr>
        <w:t>Установить следующие гарантийные сроки:</w:t>
      </w:r>
      <w:r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гарантийный срок, принимаемый для земляного полотна автомобильной дороги и слоев основания дорожной одежды автомобильной дороги при строительстве, реконструкции, составляет 8 лет;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гарантийный срок, принимаемый для земляного полотна автомобильной дороги и слоев основания дорожной одежды автомобильной дороги при капитальном ремонте, составляет 6 лет;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гарантийный срок для обочины (ее частей) автомобильной дороги, укрепленной материалом по типу проезжей части, принимается равным гарантийному сроку покрытия верхнего слоя дорожной одежды. В иных случаях гарантийный срок для обочины (ее частей) автомобильной дороги не регламентируется;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гарантийный срок для покрытия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цементобетона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строительстве, реконструкции и капитальном ремонте дорожной одежды автомобильной дороги составляет 8 лет;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гарантийный срок для нижнего слоя дорожного покрытия составляет 5 лет;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гарантийные сроки для верхнего слоя покрытия автомобильной дороги и слоев износа из асфальтобетона при строительстве, реконструкции и капитальном ремонте дорожной одежды автомобильной дороги, устанавливаемые в зависимости от прогнозируемой интенсивности движения транспортного потока по полосе движения, представлены в таблице 1;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910655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Прогнозируемая интенсивность движения транспортного потока по полосе движения, автомобилей в сутки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для верхнего слоя покрытия из асфальтобетона, лет</w:t>
            </w:r>
          </w:p>
        </w:tc>
      </w:tr>
      <w:tr w:rsidR="00910655">
        <w:tc>
          <w:tcPr>
            <w:tcW w:w="4535" w:type="dxa"/>
            <w:tcBorders>
              <w:top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1000</w:t>
            </w: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10655"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1000 - 2500</w:t>
            </w:r>
          </w:p>
        </w:tc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10655"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2500 - 5000</w:t>
            </w:r>
          </w:p>
        </w:tc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10655"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5000 - 10000</w:t>
            </w:r>
          </w:p>
        </w:tc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0655"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10000 - 20000</w:t>
            </w:r>
          </w:p>
        </w:tc>
        <w:tc>
          <w:tcPr>
            <w:tcW w:w="4535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0655">
        <w:tc>
          <w:tcPr>
            <w:tcW w:w="4535" w:type="dxa"/>
            <w:tcBorders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20000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гарантийные сроки для поверхностных обработок дорожного полотна, а также для его защитных слоев и слоев износа из литых эмульсионно-минеральных смесей представлены в таблице 2;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8"/>
        <w:gridCol w:w="2551"/>
        <w:gridCol w:w="2551"/>
      </w:tblGrid>
      <w:tr w:rsidR="00910655">
        <w:tc>
          <w:tcPr>
            <w:tcW w:w="39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Конструктивный элемент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срок, устанавливаемый в зависимости от прогнозируемой интенсивности движения транспортного потока по полосе движения, автомобилей в сутки</w:t>
            </w:r>
          </w:p>
        </w:tc>
      </w:tr>
      <w:tr w:rsidR="00910655">
        <w:tc>
          <w:tcPr>
            <w:tcW w:w="39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2500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2500</w:t>
            </w:r>
          </w:p>
        </w:tc>
      </w:tr>
      <w:tr w:rsidR="00910655">
        <w:tc>
          <w:tcPr>
            <w:tcW w:w="3968" w:type="dxa"/>
            <w:tcBorders>
              <w:top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Однослойная поверхностная обработка дорожного полотна с однократным распределением щебня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года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910655">
        <w:tc>
          <w:tcPr>
            <w:tcW w:w="3968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Однослойная поверхностная обработка дорожного полотна с двойной россыпью щебня</w:t>
            </w:r>
          </w:p>
        </w:tc>
        <w:tc>
          <w:tcPr>
            <w:tcW w:w="2551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2551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910655">
        <w:tc>
          <w:tcPr>
            <w:tcW w:w="3968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Двухслойная поверхностная обработка дорожного полотна</w:t>
            </w:r>
          </w:p>
        </w:tc>
        <w:tc>
          <w:tcPr>
            <w:tcW w:w="2551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2551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910655">
        <w:tc>
          <w:tcPr>
            <w:tcW w:w="3968" w:type="dxa"/>
            <w:tcBorders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Слои износа дорожного полотна и его защитные слои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</w:tbl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гарантийные сроки на дорожные знаки: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знаков без применения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световозвращающих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материалов - 2 года;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знаков с применением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световозвращающего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материала I класса - 5 лет;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знаков с применением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световозвращающего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материала II и III класса - 10 лет;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гарантийные сроки на дорожную разметку не должны быть менее функциональной долговечности разметки: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долговечность постоянной горизонтальной разметки, выполненной термопластиками, холодными пластиками толщиной нанесения 1,5 мм и более, штучными формами и полимерными лентами, - 1 год;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долговечность постоянной горизонтальной разметки, выполненной термопластиками, холодными пластиками толщиной нанесения менее 1,5 мм, - 6 месяцев;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долговечность постоянной горизонтальной разметки, выполненной красками (эмалями), - 3 месяца;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долговечность временной горизонтальной разметки - до окончания событий, потребовавших ее нанесение;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гарантийный срок на барьерное ограждение (металлическое, железобетонное) составляет 5 лет;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гарантийный срок на сигнальные столбики составляет 2 года;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м) гарантийные сроки на искусственные дорожные сооружения представлены в таблице 3.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8"/>
      </w:tblGrid>
      <w:tr w:rsidR="00910655">
        <w:tc>
          <w:tcPr>
            <w:tcW w:w="5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искусственного дорожного сооружения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на искусственное дорожное сооружение</w:t>
            </w:r>
          </w:p>
        </w:tc>
      </w:tr>
      <w:tr w:rsidR="00910655">
        <w:tc>
          <w:tcPr>
            <w:tcW w:w="5102" w:type="dxa"/>
            <w:tcBorders>
              <w:top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Мосты, путепроводы, тоннели, эстакады</w:t>
            </w: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</w:tr>
      <w:tr w:rsidR="00910655">
        <w:tc>
          <w:tcPr>
            <w:tcW w:w="5102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Водопропускные трубы</w:t>
            </w:r>
          </w:p>
        </w:tc>
        <w:tc>
          <w:tcPr>
            <w:tcW w:w="3968" w:type="dxa"/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</w:tr>
      <w:tr w:rsidR="00910655">
        <w:tc>
          <w:tcPr>
            <w:tcW w:w="5102" w:type="dxa"/>
            <w:tcBorders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Регуляционные сооружения (тип сооружения)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910655" w:rsidRDefault="00910655" w:rsidP="009106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</w:tr>
    </w:tbl>
    <w:p w:rsidR="00910655" w:rsidRDefault="00910655" w:rsidP="009106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BF7" w:rsidRDefault="00E82BF7"/>
    <w:sectPr w:rsidR="00E82BF7" w:rsidSect="001A51E3">
      <w:pgSz w:w="11905" w:h="16838"/>
      <w:pgMar w:top="850" w:right="850" w:bottom="850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999" w:rsidRDefault="007A5999" w:rsidP="00910655">
      <w:pPr>
        <w:spacing w:after="0" w:line="240" w:lineRule="auto"/>
      </w:pPr>
      <w:r>
        <w:separator/>
      </w:r>
    </w:p>
  </w:endnote>
  <w:endnote w:type="continuationSeparator" w:id="0">
    <w:p w:rsidR="007A5999" w:rsidRDefault="007A5999" w:rsidP="0091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999" w:rsidRDefault="007A5999" w:rsidP="00910655">
      <w:pPr>
        <w:spacing w:after="0" w:line="240" w:lineRule="auto"/>
      </w:pPr>
      <w:r>
        <w:separator/>
      </w:r>
    </w:p>
  </w:footnote>
  <w:footnote w:type="continuationSeparator" w:id="0">
    <w:p w:rsidR="007A5999" w:rsidRDefault="007A5999" w:rsidP="00910655">
      <w:pPr>
        <w:spacing w:after="0" w:line="240" w:lineRule="auto"/>
      </w:pPr>
      <w:r>
        <w:continuationSeparator/>
      </w:r>
    </w:p>
  </w:footnote>
  <w:footnote w:id="1">
    <w:p w:rsidR="00910655" w:rsidRPr="00910655" w:rsidRDefault="00910655" w:rsidP="00910655">
      <w:pPr>
        <w:pStyle w:val="a3"/>
        <w:jc w:val="both"/>
        <w:rPr>
          <w:rFonts w:ascii="Times New Roman" w:hAnsi="Times New Roman" w:cs="Times New Roman"/>
        </w:rPr>
      </w:pPr>
      <w:r w:rsidRPr="00910655">
        <w:rPr>
          <w:rStyle w:val="a5"/>
          <w:rFonts w:ascii="Times New Roman" w:hAnsi="Times New Roman" w:cs="Times New Roman"/>
        </w:rPr>
        <w:footnoteRef/>
      </w:r>
      <w:r w:rsidRPr="00910655">
        <w:rPr>
          <w:rFonts w:ascii="Times New Roman" w:hAnsi="Times New Roman" w:cs="Times New Roman"/>
        </w:rPr>
        <w:t xml:space="preserve"> Заказчик устанавливает гарантийные сроки в зависимости от предмета контракта и тех видов работ, которые предусмотрены проектной документацией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8D0"/>
    <w:rsid w:val="007A5999"/>
    <w:rsid w:val="00910655"/>
    <w:rsid w:val="00AD2B8F"/>
    <w:rsid w:val="00C71273"/>
    <w:rsid w:val="00E82BF7"/>
    <w:rsid w:val="00FD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58EFA-E7C9-47E3-9B1D-CF451B070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1065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1065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106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88D1-2FFA-42A6-B090-FDD42FAB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Славинская Татьяна Евгеньевна</cp:lastModifiedBy>
  <cp:revision>3</cp:revision>
  <dcterms:created xsi:type="dcterms:W3CDTF">2023-08-18T11:44:00Z</dcterms:created>
  <dcterms:modified xsi:type="dcterms:W3CDTF">2023-08-28T07:40:00Z</dcterms:modified>
</cp:coreProperties>
</file>